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78461" w14:textId="77777777" w:rsidR="009548C6" w:rsidRDefault="00173675">
      <w:pPr>
        <w:pStyle w:val="normal0"/>
        <w:spacing w:after="200" w:line="331" w:lineRule="auto"/>
        <w:rPr>
          <w:rFonts w:ascii="Helvetica Neue" w:eastAsia="Helvetica Neue" w:hAnsi="Helvetica Neue" w:cs="Helvetica Neue"/>
          <w:b/>
          <w:sz w:val="26"/>
          <w:szCs w:val="26"/>
        </w:rPr>
      </w:pPr>
      <w:bookmarkStart w:id="0" w:name="_GoBack"/>
      <w:bookmarkEnd w:id="0"/>
      <w:r>
        <w:rPr>
          <w:rFonts w:ascii="Helvetica Neue" w:eastAsia="Helvetica Neue" w:hAnsi="Helvetica Neue" w:cs="Helvetica Neue"/>
          <w:b/>
          <w:sz w:val="26"/>
          <w:szCs w:val="26"/>
        </w:rPr>
        <w:t>Access Now submission to the Universal Periodic Review</w:t>
      </w:r>
    </w:p>
    <w:p w14:paraId="429E641D" w14:textId="77777777" w:rsidR="009548C6" w:rsidRDefault="00173675">
      <w:pPr>
        <w:pStyle w:val="normal0"/>
        <w:spacing w:after="200" w:line="331" w:lineRule="auto"/>
        <w:rPr>
          <w:rFonts w:ascii="Helvetica Neue" w:eastAsia="Helvetica Neue" w:hAnsi="Helvetica Neue" w:cs="Helvetica Neue"/>
          <w:b/>
          <w:sz w:val="26"/>
          <w:szCs w:val="26"/>
        </w:rPr>
      </w:pPr>
      <w:r>
        <w:rPr>
          <w:rFonts w:ascii="Helvetica Neue" w:eastAsia="Helvetica Neue" w:hAnsi="Helvetica Neue" w:cs="Helvetica Neue"/>
          <w:b/>
          <w:sz w:val="26"/>
          <w:szCs w:val="26"/>
        </w:rPr>
        <w:t>“Digital rights to privacy &amp; freedom of expression”</w:t>
      </w:r>
    </w:p>
    <w:p w14:paraId="5173956F" w14:textId="77777777" w:rsidR="009548C6" w:rsidRDefault="00173675">
      <w:pPr>
        <w:pStyle w:val="normal0"/>
        <w:spacing w:after="200" w:line="331" w:lineRule="auto"/>
        <w:rPr>
          <w:rFonts w:ascii="Helvetica Neue" w:eastAsia="Helvetica Neue" w:hAnsi="Helvetica Neue" w:cs="Helvetica Neue"/>
          <w:b/>
          <w:sz w:val="26"/>
          <w:szCs w:val="26"/>
        </w:rPr>
      </w:pPr>
      <w:r>
        <w:rPr>
          <w:rFonts w:ascii="Helvetica Neue" w:eastAsia="Helvetica Neue" w:hAnsi="Helvetica Neue" w:cs="Helvetica Neue"/>
          <w:b/>
          <w:sz w:val="26"/>
          <w:szCs w:val="26"/>
        </w:rPr>
        <w:t>Mali, Third Cycle</w:t>
      </w:r>
    </w:p>
    <w:p w14:paraId="5A38A88D" w14:textId="77777777" w:rsidR="009548C6" w:rsidRDefault="00173675">
      <w:pPr>
        <w:pStyle w:val="normal0"/>
        <w:spacing w:after="200"/>
        <w:rPr>
          <w:rFonts w:ascii="Helvetica Neue" w:eastAsia="Helvetica Neue" w:hAnsi="Helvetica Neue" w:cs="Helvetica Neue"/>
          <w:b/>
        </w:rPr>
      </w:pPr>
      <w:r>
        <w:rPr>
          <w:rFonts w:ascii="Helvetica Neue" w:eastAsia="Helvetica Neue" w:hAnsi="Helvetica Neue" w:cs="Helvetica Neue"/>
          <w:b/>
        </w:rPr>
        <w:t>About Access Now</w:t>
      </w:r>
    </w:p>
    <w:p w14:paraId="4AA71246" w14:textId="77777777" w:rsidR="009548C6" w:rsidRDefault="00173675">
      <w:pPr>
        <w:pStyle w:val="normal0"/>
        <w:numPr>
          <w:ilvl w:val="0"/>
          <w:numId w:val="2"/>
        </w:numPr>
        <w:ind w:hanging="360"/>
        <w:contextualSpacing/>
      </w:pPr>
      <w:r>
        <w:t>Access Now (</w:t>
      </w:r>
      <w:hyperlink r:id="rId8">
        <w:r>
          <w:rPr>
            <w:color w:val="1155CC"/>
            <w:u w:val="single"/>
          </w:rPr>
          <w:t>www.accessnow.org</w:t>
        </w:r>
      </w:hyperlink>
      <w:r>
        <w:t>) is an international organisation that works to defend and extend digital rights of users globally. Through representation in 10 countries around the world, including engagement with stakeholders and policymakers in India, Access Now provides thought lead</w:t>
      </w:r>
      <w:r>
        <w:t>ership and policy recommendations to the public and private sectors to ensure the internet’s continued openness and the protection of fundamental rights. We engage with an action focused global community, and our Technology Arm operates a 24/7 digital secu</w:t>
      </w:r>
      <w:r>
        <w:t>rity helpline that provides real time direct technical assistance to users around the world.</w:t>
      </w:r>
    </w:p>
    <w:p w14:paraId="0674D43C" w14:textId="77777777" w:rsidR="009548C6" w:rsidRDefault="00173675">
      <w:pPr>
        <w:pStyle w:val="normal0"/>
        <w:numPr>
          <w:ilvl w:val="0"/>
          <w:numId w:val="2"/>
        </w:numPr>
        <w:spacing w:after="200"/>
        <w:ind w:hanging="360"/>
        <w:contextualSpacing/>
        <w:rPr>
          <w:rFonts w:ascii="Helvetica Neue" w:eastAsia="Helvetica Neue" w:hAnsi="Helvetica Neue" w:cs="Helvetica Neue"/>
        </w:rPr>
      </w:pPr>
      <w:r>
        <w:rPr>
          <w:rFonts w:ascii="Helvetica Neue" w:eastAsia="Helvetica Neue" w:hAnsi="Helvetica Neue" w:cs="Helvetica Neue"/>
        </w:rPr>
        <w:t xml:space="preserve">Access Now advocates an approach to digital security that promotes good security policies that protect user rights, including privacy and freedom of expression. </w:t>
      </w:r>
    </w:p>
    <w:p w14:paraId="4AFEBC3E" w14:textId="77777777" w:rsidR="009548C6" w:rsidRDefault="00173675">
      <w:pPr>
        <w:pStyle w:val="normal0"/>
        <w:numPr>
          <w:ilvl w:val="0"/>
          <w:numId w:val="2"/>
        </w:numPr>
        <w:spacing w:after="200"/>
        <w:ind w:hanging="360"/>
        <w:contextualSpacing/>
        <w:rPr>
          <w:rFonts w:ascii="Helvetica Neue" w:eastAsia="Helvetica Neue" w:hAnsi="Helvetica Neue" w:cs="Helvetica Neue"/>
        </w:rPr>
      </w:pPr>
      <w:r>
        <w:rPr>
          <w:rFonts w:ascii="Helvetica Neue" w:eastAsia="Helvetica Neue" w:hAnsi="Helvetica Neue" w:cs="Helvetica Neue"/>
        </w:rPr>
        <w:t>W</w:t>
      </w:r>
      <w:r>
        <w:rPr>
          <w:rFonts w:ascii="Helvetica Neue" w:eastAsia="Helvetica Neue" w:hAnsi="Helvetica Neue" w:cs="Helvetica Neue"/>
        </w:rPr>
        <w:t xml:space="preserve">ith this submission, Access Now draws attention to threats to human rights and the open internet in Mali, including blocking of websites and communication services, invasive surveillance and unlawful invasions of privacy. </w:t>
      </w:r>
    </w:p>
    <w:p w14:paraId="29886413" w14:textId="77777777" w:rsidR="009548C6" w:rsidRDefault="00173675">
      <w:pPr>
        <w:pStyle w:val="normal0"/>
        <w:spacing w:after="200"/>
        <w:rPr>
          <w:rFonts w:ascii="Helvetica Neue" w:eastAsia="Helvetica Neue" w:hAnsi="Helvetica Neue" w:cs="Helvetica Neue"/>
        </w:rPr>
      </w:pPr>
      <w:r>
        <w:rPr>
          <w:rFonts w:ascii="Helvetica Neue" w:eastAsia="Helvetica Neue" w:hAnsi="Helvetica Neue" w:cs="Helvetica Neue"/>
          <w:b/>
        </w:rPr>
        <w:t xml:space="preserve">Domestic and international human </w:t>
      </w:r>
      <w:r>
        <w:rPr>
          <w:rFonts w:ascii="Helvetica Neue" w:eastAsia="Helvetica Neue" w:hAnsi="Helvetica Neue" w:cs="Helvetica Neue"/>
          <w:b/>
        </w:rPr>
        <w:t>rights obligations</w:t>
      </w:r>
    </w:p>
    <w:p w14:paraId="707406AA" w14:textId="77777777" w:rsidR="009548C6" w:rsidRDefault="00173675">
      <w:pPr>
        <w:pStyle w:val="normal0"/>
        <w:numPr>
          <w:ilvl w:val="0"/>
          <w:numId w:val="2"/>
        </w:numPr>
        <w:spacing w:after="200"/>
        <w:ind w:hanging="360"/>
        <w:contextualSpacing/>
        <w:rPr>
          <w:rFonts w:ascii="Helvetica Neue" w:eastAsia="Helvetica Neue" w:hAnsi="Helvetica Neue" w:cs="Helvetica Neue"/>
        </w:rPr>
      </w:pPr>
      <w:r>
        <w:rPr>
          <w:rFonts w:ascii="Helvetica Neue" w:eastAsia="Helvetica Neue" w:hAnsi="Helvetica Neue" w:cs="Helvetica Neue"/>
        </w:rPr>
        <w:t xml:space="preserve">This is the third review for Mali, last reviewed in 2013, under the Universal Periodic Review mechanism (UPR). </w:t>
      </w:r>
    </w:p>
    <w:p w14:paraId="2E3098D3" w14:textId="77777777" w:rsidR="009548C6" w:rsidRDefault="00173675">
      <w:pPr>
        <w:pStyle w:val="normal0"/>
        <w:numPr>
          <w:ilvl w:val="0"/>
          <w:numId w:val="2"/>
        </w:numPr>
        <w:spacing w:after="200"/>
        <w:ind w:hanging="360"/>
        <w:contextualSpacing/>
        <w:rPr>
          <w:rFonts w:ascii="Helvetica Neue" w:eastAsia="Helvetica Neue" w:hAnsi="Helvetica Neue" w:cs="Helvetica Neue"/>
        </w:rPr>
      </w:pPr>
      <w:r>
        <w:t xml:space="preserve">Mali has ratified many international human rights instruments, </w:t>
      </w:r>
      <w:r>
        <w:rPr>
          <w:rFonts w:ascii="Helvetica Neue" w:eastAsia="Helvetica Neue" w:hAnsi="Helvetica Neue" w:cs="Helvetica Neue"/>
        </w:rPr>
        <w:t xml:space="preserve">including the </w:t>
      </w:r>
      <w:hyperlink r:id="rId9">
        <w:r>
          <w:rPr>
            <w:rFonts w:ascii="Helvetica Neue" w:eastAsia="Helvetica Neue" w:hAnsi="Helvetica Neue" w:cs="Helvetica Neue"/>
            <w:color w:val="1155CC"/>
            <w:u w:val="single"/>
          </w:rPr>
          <w:t>International Covenant on Civil and Political Rights</w:t>
        </w:r>
      </w:hyperlink>
      <w:r>
        <w:rPr>
          <w:rFonts w:ascii="Helvetica Neue" w:eastAsia="Helvetica Neue" w:hAnsi="Helvetica Neue" w:cs="Helvetica Neue"/>
        </w:rPr>
        <w:t xml:space="preserve"> (ICCPR), the International Covenant on Economic, Social and Cultural Rights (ICESCR), </w:t>
      </w:r>
      <w:r>
        <w:t xml:space="preserve">the </w:t>
      </w:r>
      <w:hyperlink r:id="rId10">
        <w:r>
          <w:rPr>
            <w:color w:val="1155CC"/>
            <w:u w:val="single"/>
          </w:rPr>
          <w:t>Co</w:t>
        </w:r>
        <w:r>
          <w:rPr>
            <w:color w:val="1155CC"/>
            <w:u w:val="single"/>
          </w:rPr>
          <w:t>nvention against Torture</w:t>
        </w:r>
      </w:hyperlink>
      <w:r>
        <w:t xml:space="preserve"> (CAT), the Convention on the Elimination of all Forms of Discrimination Against Women (CEDAW), and the International Convention on the Elimination of All Forms of Racial Discrimination (CERD).</w:t>
      </w:r>
    </w:p>
    <w:p w14:paraId="1963B43E" w14:textId="77777777" w:rsidR="009548C6" w:rsidRDefault="00173675">
      <w:pPr>
        <w:pStyle w:val="normal0"/>
        <w:numPr>
          <w:ilvl w:val="0"/>
          <w:numId w:val="2"/>
        </w:numPr>
        <w:spacing w:after="200"/>
        <w:ind w:hanging="360"/>
        <w:contextualSpacing/>
      </w:pPr>
      <w:r>
        <w:t xml:space="preserve">Mali has ratified the African Charter </w:t>
      </w:r>
      <w:r>
        <w:t>on Human and Peoples' Rights, which protects freedom of expression.</w:t>
      </w:r>
    </w:p>
    <w:p w14:paraId="21065CFB" w14:textId="77777777" w:rsidR="009548C6" w:rsidRDefault="00173675">
      <w:pPr>
        <w:pStyle w:val="normal0"/>
        <w:numPr>
          <w:ilvl w:val="0"/>
          <w:numId w:val="2"/>
        </w:numPr>
        <w:spacing w:after="200"/>
        <w:ind w:hanging="360"/>
        <w:contextualSpacing/>
        <w:rPr>
          <w:rFonts w:ascii="Helvetica Neue" w:eastAsia="Helvetica Neue" w:hAnsi="Helvetica Neue" w:cs="Helvetica Neue"/>
        </w:rPr>
      </w:pPr>
      <w:r>
        <w:rPr>
          <w:rFonts w:ascii="Helvetica Neue" w:eastAsia="Helvetica Neue" w:hAnsi="Helvetica Neue" w:cs="Helvetica Neue"/>
        </w:rPr>
        <w:t xml:space="preserve">The Mali Constitution protects the freedom of expression (Art. 4) and the right to privacy (Article 6). </w:t>
      </w:r>
    </w:p>
    <w:p w14:paraId="0C29D457" w14:textId="77777777" w:rsidR="009548C6" w:rsidRDefault="00173675">
      <w:pPr>
        <w:pStyle w:val="normal0"/>
        <w:spacing w:after="200"/>
        <w:rPr>
          <w:rFonts w:ascii="Helvetica Neue" w:eastAsia="Helvetica Neue" w:hAnsi="Helvetica Neue" w:cs="Helvetica Neue"/>
        </w:rPr>
      </w:pPr>
      <w:r>
        <w:rPr>
          <w:rFonts w:ascii="Helvetica Neue" w:eastAsia="Helvetica Neue" w:hAnsi="Helvetica Neue" w:cs="Helvetica Neue"/>
          <w:b/>
        </w:rPr>
        <w:t>Developments of digital rights in Mali</w:t>
      </w:r>
    </w:p>
    <w:p w14:paraId="3BC3C833" w14:textId="77777777" w:rsidR="009548C6" w:rsidRDefault="00173675">
      <w:pPr>
        <w:pStyle w:val="normal0"/>
        <w:numPr>
          <w:ilvl w:val="0"/>
          <w:numId w:val="2"/>
        </w:numPr>
        <w:spacing w:after="200"/>
        <w:ind w:hanging="360"/>
        <w:contextualSpacing/>
        <w:rPr>
          <w:rFonts w:ascii="Helvetica Neue" w:eastAsia="Helvetica Neue" w:hAnsi="Helvetica Neue" w:cs="Helvetica Neue"/>
        </w:rPr>
      </w:pPr>
      <w:r>
        <w:rPr>
          <w:rFonts w:ascii="Helvetica Neue" w:eastAsia="Helvetica Neue" w:hAnsi="Helvetica Neue" w:cs="Helvetica Neue"/>
        </w:rPr>
        <w:t>The internet has enabled significant advance</w:t>
      </w:r>
      <w:r>
        <w:rPr>
          <w:rFonts w:ascii="Helvetica Neue" w:eastAsia="Helvetica Neue" w:hAnsi="Helvetica Neue" w:cs="Helvetica Neue"/>
        </w:rPr>
        <w:t xml:space="preserve">s in health, education, and creativity, and it is now essential to fully realize human rights including participation in elections and access to information.  </w:t>
      </w:r>
      <w:r>
        <w:t>Fixed-line and mobile internet connectivity is essential for economic, social, cultural, politica</w:t>
      </w:r>
      <w:r>
        <w:t xml:space="preserve">l, and civic development in the digital age. </w:t>
      </w:r>
    </w:p>
    <w:p w14:paraId="60E42803" w14:textId="77777777" w:rsidR="009548C6" w:rsidRDefault="009548C6">
      <w:pPr>
        <w:pStyle w:val="normal0"/>
        <w:numPr>
          <w:ilvl w:val="0"/>
          <w:numId w:val="2"/>
        </w:numPr>
        <w:spacing w:after="200"/>
        <w:ind w:hanging="360"/>
        <w:contextualSpacing/>
        <w:rPr>
          <w:rFonts w:ascii="Helvetica Neue" w:eastAsia="Helvetica Neue" w:hAnsi="Helvetica Neue" w:cs="Helvetica Neue"/>
        </w:rPr>
      </w:pPr>
    </w:p>
    <w:p w14:paraId="2BDFF2FA" w14:textId="77777777" w:rsidR="009548C6" w:rsidRDefault="00173675">
      <w:pPr>
        <w:pStyle w:val="normal0"/>
        <w:numPr>
          <w:ilvl w:val="0"/>
          <w:numId w:val="2"/>
        </w:numPr>
        <w:spacing w:after="200"/>
        <w:ind w:hanging="360"/>
        <w:contextualSpacing/>
        <w:rPr>
          <w:rFonts w:ascii="Helvetica Neue" w:eastAsia="Helvetica Neue" w:hAnsi="Helvetica Neue" w:cs="Helvetica Neue"/>
        </w:rPr>
      </w:pPr>
      <w:r>
        <w:lastRenderedPageBreak/>
        <w:t>Access to mobile communications networks in Mali has increased greatly. According to 2015 ITU statistics, Malians enjoy more than one mobile-cellular telephone subscriptions per inhabitant.</w:t>
      </w:r>
      <w:r>
        <w:rPr>
          <w:vertAlign w:val="superscript"/>
        </w:rPr>
        <w:footnoteReference w:id="1"/>
      </w:r>
      <w:r>
        <w:t xml:space="preserve"> However, access to</w:t>
      </w:r>
      <w:r>
        <w:t xml:space="preserve"> broadband internet remains quite low.</w:t>
      </w:r>
      <w:r>
        <w:rPr>
          <w:vertAlign w:val="superscript"/>
        </w:rPr>
        <w:footnoteReference w:id="2"/>
      </w:r>
      <w:r>
        <w:t xml:space="preserve"> </w:t>
      </w:r>
    </w:p>
    <w:p w14:paraId="49792C46" w14:textId="77777777" w:rsidR="009548C6" w:rsidRDefault="00173675">
      <w:pPr>
        <w:pStyle w:val="normal0"/>
        <w:numPr>
          <w:ilvl w:val="0"/>
          <w:numId w:val="2"/>
        </w:numPr>
        <w:spacing w:after="200"/>
        <w:ind w:hanging="360"/>
        <w:contextualSpacing/>
      </w:pPr>
      <w:r>
        <w:t>These low penetration rates show that Mali must take urgent steps to invest in digital communications infrastructure and networks, while improving its population’s digital literacy and capacity to realize the benefi</w:t>
      </w:r>
      <w:r>
        <w:t xml:space="preserve">ts of digital information and communications technology (ICTs). </w:t>
      </w:r>
    </w:p>
    <w:p w14:paraId="48A44FE6" w14:textId="77777777" w:rsidR="009548C6" w:rsidRDefault="00173675">
      <w:pPr>
        <w:pStyle w:val="normal0"/>
        <w:numPr>
          <w:ilvl w:val="0"/>
          <w:numId w:val="2"/>
        </w:numPr>
        <w:ind w:hanging="360"/>
        <w:contextualSpacing/>
      </w:pPr>
      <w:r>
        <w:t xml:space="preserve">Despite the low rates of internet and mobile connectivity, </w:t>
      </w:r>
      <w:r>
        <w:t>according to various reports, the government of Mali appears to have ordered the shutdown of certain social media applications on the mobile internet in June 2017. As the street protests against the referendum on the constitutional reform project, Malian I</w:t>
      </w:r>
      <w:r>
        <w:t>nternet users were deprived of Facebook and Twitter without explanation.</w:t>
      </w:r>
      <w:r>
        <w:rPr>
          <w:vertAlign w:val="superscript"/>
        </w:rPr>
        <w:footnoteReference w:id="3"/>
      </w:r>
    </w:p>
    <w:p w14:paraId="6299F58E" w14:textId="77777777" w:rsidR="009548C6" w:rsidRDefault="00173675">
      <w:pPr>
        <w:pStyle w:val="normal0"/>
        <w:numPr>
          <w:ilvl w:val="0"/>
          <w:numId w:val="2"/>
        </w:numPr>
        <w:ind w:hanging="360"/>
        <w:contextualSpacing/>
      </w:pPr>
      <w:r>
        <w:rPr>
          <w:rFonts w:ascii="Helvetica Neue" w:eastAsia="Helvetica Neue" w:hAnsi="Helvetica Neue" w:cs="Helvetica Neue"/>
        </w:rPr>
        <w:t>Shutdowns and blocking of internet services delay and deter the benefits of these advances and economic development more broadly, by obstructing trust in the digital economy, undermi</w:t>
      </w:r>
      <w:r>
        <w:rPr>
          <w:rFonts w:ascii="Helvetica Neue" w:eastAsia="Helvetica Neue" w:hAnsi="Helvetica Neue" w:cs="Helvetica Neue"/>
        </w:rPr>
        <w:t>ning access to information, and frustrating personal communications and resources needed for crisis response.</w:t>
      </w:r>
    </w:p>
    <w:p w14:paraId="476E41F8" w14:textId="77777777" w:rsidR="009548C6" w:rsidRDefault="00173675">
      <w:pPr>
        <w:pStyle w:val="normal0"/>
        <w:spacing w:after="200"/>
        <w:rPr>
          <w:b/>
        </w:rPr>
      </w:pPr>
      <w:r>
        <w:rPr>
          <w:b/>
        </w:rPr>
        <w:t>Freedom of expression and internet shutdowns</w:t>
      </w:r>
    </w:p>
    <w:p w14:paraId="6BE5AAD2" w14:textId="77777777" w:rsidR="009548C6" w:rsidRDefault="00173675">
      <w:pPr>
        <w:pStyle w:val="normal0"/>
        <w:numPr>
          <w:ilvl w:val="0"/>
          <w:numId w:val="2"/>
        </w:numPr>
        <w:spacing w:after="200"/>
        <w:ind w:hanging="360"/>
        <w:contextualSpacing/>
        <w:rPr>
          <w:rFonts w:ascii="Helvetica Neue" w:eastAsia="Helvetica Neue" w:hAnsi="Helvetica Neue" w:cs="Helvetica Neue"/>
        </w:rPr>
      </w:pPr>
      <w:r>
        <w:t>The right to free expression should be protected online as it is offline.</w:t>
      </w:r>
      <w:r>
        <w:rPr>
          <w:vertAlign w:val="superscript"/>
        </w:rPr>
        <w:footnoteReference w:id="4"/>
      </w:r>
      <w:r>
        <w:t xml:space="preserve"> The internet is an essenti</w:t>
      </w:r>
      <w:r>
        <w:t>al enabler for the exercise of free expression in the 21st century and should be protected and promoted as the right itself.</w:t>
      </w:r>
      <w:r>
        <w:rPr>
          <w:vertAlign w:val="superscript"/>
        </w:rPr>
        <w:footnoteReference w:id="5"/>
      </w:r>
    </w:p>
    <w:p w14:paraId="64D7316C" w14:textId="77777777" w:rsidR="009548C6" w:rsidRDefault="00173675">
      <w:pPr>
        <w:pStyle w:val="normal0"/>
        <w:numPr>
          <w:ilvl w:val="0"/>
          <w:numId w:val="2"/>
        </w:numPr>
        <w:spacing w:after="200"/>
        <w:ind w:hanging="360"/>
        <w:contextualSpacing/>
      </w:pPr>
      <w:r>
        <w:t>Blocking popular and affordable communications services, and surveillance and jailing prominent internet personalities, interferes</w:t>
      </w:r>
      <w:r>
        <w:t xml:space="preserve"> with the human right to free expression. Blanket bans on entire communications services do not satisfy the recognized test for restrictions on freedom of expression.</w:t>
      </w:r>
      <w:r>
        <w:rPr>
          <w:vertAlign w:val="superscript"/>
        </w:rPr>
        <w:footnoteReference w:id="6"/>
      </w:r>
    </w:p>
    <w:p w14:paraId="2E8FF53F" w14:textId="77777777" w:rsidR="009548C6" w:rsidRDefault="00173675">
      <w:pPr>
        <w:pStyle w:val="normal0"/>
        <w:numPr>
          <w:ilvl w:val="0"/>
          <w:numId w:val="2"/>
        </w:numPr>
        <w:spacing w:after="200"/>
        <w:ind w:hanging="360"/>
        <w:contextualSpacing/>
        <w:rPr>
          <w:rFonts w:ascii="Helvetica Neue" w:eastAsia="Helvetica Neue" w:hAnsi="Helvetica Neue" w:cs="Helvetica Neue"/>
        </w:rPr>
      </w:pPr>
      <w:r>
        <w:rPr>
          <w:rFonts w:ascii="Helvetica Neue" w:eastAsia="Helvetica Neue" w:hAnsi="Helvetica Neue" w:cs="Helvetica Neue"/>
        </w:rPr>
        <w:t>Mali’s June 2017 block of popular social media and messaging applications, coming during</w:t>
      </w:r>
      <w:r>
        <w:rPr>
          <w:rFonts w:ascii="Helvetica Neue" w:eastAsia="Helvetica Neue" w:hAnsi="Helvetica Neue" w:cs="Helvetica Neue"/>
        </w:rPr>
        <w:t xml:space="preserve"> public protests, appears to have targeted those exercising freedom of expression. The shutdowns represented an impermissible restriction on the right to freedom of expression. Public demonstrations do not warrant blanket bans on the communications platfor</w:t>
      </w:r>
      <w:r>
        <w:rPr>
          <w:rFonts w:ascii="Helvetica Neue" w:eastAsia="Helvetica Neue" w:hAnsi="Helvetica Neue" w:cs="Helvetica Neue"/>
        </w:rPr>
        <w:t xml:space="preserve">ms essential to realizing freedom of expression in the digital </w:t>
      </w:r>
      <w:r>
        <w:rPr>
          <w:rFonts w:ascii="Helvetica Neue" w:eastAsia="Helvetica Neue" w:hAnsi="Helvetica Neue" w:cs="Helvetica Neue"/>
        </w:rPr>
        <w:lastRenderedPageBreak/>
        <w:t>age. Civil society beseeched regional and international human rights experts to speak out on the blocking incident.</w:t>
      </w:r>
      <w:r>
        <w:rPr>
          <w:rFonts w:ascii="Helvetica Neue" w:eastAsia="Helvetica Neue" w:hAnsi="Helvetica Neue" w:cs="Helvetica Neue"/>
          <w:vertAlign w:val="superscript"/>
        </w:rPr>
        <w:footnoteReference w:id="7"/>
      </w:r>
    </w:p>
    <w:p w14:paraId="63C032C6" w14:textId="77777777" w:rsidR="009548C6" w:rsidRDefault="00173675">
      <w:pPr>
        <w:pStyle w:val="normal0"/>
        <w:numPr>
          <w:ilvl w:val="0"/>
          <w:numId w:val="2"/>
        </w:numPr>
        <w:spacing w:after="200"/>
        <w:ind w:hanging="360"/>
        <w:contextualSpacing/>
        <w:rPr>
          <w:rFonts w:ascii="Helvetica Neue" w:eastAsia="Helvetica Neue" w:hAnsi="Helvetica Neue" w:cs="Helvetica Neue"/>
        </w:rPr>
      </w:pPr>
      <w:r>
        <w:rPr>
          <w:rFonts w:ascii="Helvetica Neue" w:eastAsia="Helvetica Neue" w:hAnsi="Helvetica Neue" w:cs="Helvetica Neue"/>
        </w:rPr>
        <w:t>The international community labels this type of blocking of telecommunicatio</w:t>
      </w:r>
      <w:r>
        <w:rPr>
          <w:rFonts w:ascii="Helvetica Neue" w:eastAsia="Helvetica Neue" w:hAnsi="Helvetica Neue" w:cs="Helvetica Neue"/>
        </w:rPr>
        <w:t>ns networks and services as an “internet shutdown.”</w:t>
      </w:r>
      <w:r>
        <w:rPr>
          <w:rFonts w:ascii="Helvetica Neue" w:eastAsia="Helvetica Neue" w:hAnsi="Helvetica Neue" w:cs="Helvetica Neue"/>
          <w:vertAlign w:val="superscript"/>
        </w:rPr>
        <w:footnoteReference w:id="8"/>
      </w:r>
      <w:r>
        <w:rPr>
          <w:rFonts w:ascii="Helvetica Neue" w:eastAsia="Helvetica Neue" w:hAnsi="Helvetica Neue" w:cs="Helvetica Neue"/>
        </w:rPr>
        <w:t xml:space="preserve"> Research shows that internet shutdowns and human rights infringements go hand-in-hand.</w:t>
      </w:r>
      <w:r>
        <w:rPr>
          <w:rFonts w:ascii="Helvetica Neue" w:eastAsia="Helvetica Neue" w:hAnsi="Helvetica Neue" w:cs="Helvetica Neue"/>
          <w:vertAlign w:val="superscript"/>
        </w:rPr>
        <w:footnoteReference w:id="9"/>
      </w:r>
      <w:r>
        <w:rPr>
          <w:rFonts w:ascii="Helvetica Neue" w:eastAsia="Helvetica Neue" w:hAnsi="Helvetica Neue" w:cs="Helvetica Neue"/>
        </w:rPr>
        <w:t xml:space="preserve"> Shutdowns disrupt the free flow of information and create a cover of darkness that allows state and non-state actor</w:t>
      </w:r>
      <w:r>
        <w:rPr>
          <w:rFonts w:ascii="Helvetica Neue" w:eastAsia="Helvetica Neue" w:hAnsi="Helvetica Neue" w:cs="Helvetica Neue"/>
        </w:rPr>
        <w:t xml:space="preserve">s to persecute vulnerable groups without scrutiny. They also drastically harm the economy, especially by impacting mobile money transfers. </w:t>
      </w:r>
    </w:p>
    <w:p w14:paraId="5F68BB4E" w14:textId="77777777" w:rsidR="009548C6" w:rsidRDefault="00173675">
      <w:pPr>
        <w:pStyle w:val="normal0"/>
        <w:numPr>
          <w:ilvl w:val="0"/>
          <w:numId w:val="2"/>
        </w:numPr>
        <w:spacing w:after="200"/>
        <w:ind w:hanging="360"/>
        <w:contextualSpacing/>
        <w:rPr>
          <w:rFonts w:ascii="Helvetica Neue" w:eastAsia="Helvetica Neue" w:hAnsi="Helvetica Neue" w:cs="Helvetica Neue"/>
        </w:rPr>
      </w:pPr>
      <w:r>
        <w:rPr>
          <w:rFonts w:ascii="Helvetica Neue" w:eastAsia="Helvetica Neue" w:hAnsi="Helvetica Neue" w:cs="Helvetica Neue"/>
        </w:rPr>
        <w:t>A growing body of jurisprudence declares shutdowns to violate international law. In 2015, experts from the United Na</w:t>
      </w:r>
      <w:r>
        <w:rPr>
          <w:rFonts w:ascii="Helvetica Neue" w:eastAsia="Helvetica Neue" w:hAnsi="Helvetica Neue" w:cs="Helvetica Neue"/>
        </w:rPr>
        <w:t>tions (UN) Organization for Security and Co-operation in Europe (OSCE), Organization of American States (OAS), and the African Commission on Human and Peoples’ Rights (ACHPR), issued an historic statement declaring that internet “kill switches” can never b</w:t>
      </w:r>
      <w:r>
        <w:rPr>
          <w:rFonts w:ascii="Helvetica Neue" w:eastAsia="Helvetica Neue" w:hAnsi="Helvetica Neue" w:cs="Helvetica Neue"/>
        </w:rPr>
        <w:t>e justified under international human rights law, even in times of conflict.</w:t>
      </w:r>
      <w:r>
        <w:rPr>
          <w:rFonts w:ascii="Helvetica Neue" w:eastAsia="Helvetica Neue" w:hAnsi="Helvetica Neue" w:cs="Helvetica Neue"/>
          <w:vertAlign w:val="superscript"/>
        </w:rPr>
        <w:footnoteReference w:id="10"/>
      </w:r>
      <w:r>
        <w:rPr>
          <w:rFonts w:ascii="Helvetica Neue" w:eastAsia="Helvetica Neue" w:hAnsi="Helvetica Neue" w:cs="Helvetica Neue"/>
        </w:rPr>
        <w:t xml:space="preserve"> In 2016, the Human Rights Council referred to internet shutdowns in its consensus Resolution 32/13, which “</w:t>
      </w:r>
      <w:r>
        <w:rPr>
          <w:rFonts w:ascii="Helvetica Neue" w:eastAsia="Helvetica Neue" w:hAnsi="Helvetica Neue" w:cs="Helvetica Neue"/>
          <w:i/>
        </w:rPr>
        <w:t>condemns unequivocally</w:t>
      </w:r>
      <w:r>
        <w:rPr>
          <w:rFonts w:ascii="Helvetica Neue" w:eastAsia="Helvetica Neue" w:hAnsi="Helvetica Neue" w:cs="Helvetica Neue"/>
        </w:rPr>
        <w:t xml:space="preserve"> measures to intentionally prevent or disrupt acc</w:t>
      </w:r>
      <w:r>
        <w:rPr>
          <w:rFonts w:ascii="Helvetica Neue" w:eastAsia="Helvetica Neue" w:hAnsi="Helvetica Neue" w:cs="Helvetica Neue"/>
        </w:rPr>
        <w:t>ess to or dissemination of information online in violation of international human rights law, and calls upon all States to refrain from and cease such measures”.</w:t>
      </w:r>
      <w:r>
        <w:rPr>
          <w:rFonts w:ascii="Helvetica Neue" w:eastAsia="Helvetica Neue" w:hAnsi="Helvetica Neue" w:cs="Helvetica Neue"/>
          <w:vertAlign w:val="superscript"/>
        </w:rPr>
        <w:footnoteReference w:id="11"/>
      </w:r>
    </w:p>
    <w:p w14:paraId="4FE69652" w14:textId="77777777" w:rsidR="009548C6" w:rsidRDefault="00173675">
      <w:pPr>
        <w:pStyle w:val="normal0"/>
        <w:spacing w:after="200"/>
        <w:rPr>
          <w:rFonts w:ascii="Helvetica Neue" w:eastAsia="Helvetica Neue" w:hAnsi="Helvetica Neue" w:cs="Helvetica Neue"/>
          <w:b/>
        </w:rPr>
      </w:pPr>
      <w:r>
        <w:rPr>
          <w:rFonts w:ascii="Helvetica Neue" w:eastAsia="Helvetica Neue" w:hAnsi="Helvetica Neue" w:cs="Helvetica Neue"/>
          <w:b/>
        </w:rPr>
        <w:t>Privacy and data protection</w:t>
      </w:r>
    </w:p>
    <w:p w14:paraId="5C21B2B6" w14:textId="77777777" w:rsidR="009548C6" w:rsidRDefault="00173675">
      <w:pPr>
        <w:pStyle w:val="normal0"/>
        <w:numPr>
          <w:ilvl w:val="0"/>
          <w:numId w:val="2"/>
        </w:numPr>
        <w:spacing w:after="200"/>
        <w:ind w:hanging="360"/>
        <w:contextualSpacing/>
        <w:rPr>
          <w:rFonts w:ascii="Helvetica Neue" w:eastAsia="Helvetica Neue" w:hAnsi="Helvetica Neue" w:cs="Helvetica Neue"/>
        </w:rPr>
      </w:pPr>
      <w:r>
        <w:rPr>
          <w:rFonts w:ascii="Helvetica Neue" w:eastAsia="Helvetica Neue" w:hAnsi="Helvetica Neue" w:cs="Helvetica Neue"/>
        </w:rPr>
        <w:t xml:space="preserve">Data protection regulations ensure the security of personal information collected, stored, processed, and transmitted online, thereby increasing trust in and growth of digital ecosystems across the public and private sectors. </w:t>
      </w:r>
    </w:p>
    <w:p w14:paraId="13D1D1AD" w14:textId="77777777" w:rsidR="009548C6" w:rsidRDefault="00173675">
      <w:pPr>
        <w:pStyle w:val="normal0"/>
        <w:numPr>
          <w:ilvl w:val="0"/>
          <w:numId w:val="2"/>
        </w:numPr>
        <w:spacing w:after="200"/>
        <w:ind w:hanging="360"/>
        <w:contextualSpacing/>
        <w:rPr>
          <w:rFonts w:ascii="Helvetica Neue" w:eastAsia="Helvetica Neue" w:hAnsi="Helvetica Neue" w:cs="Helvetica Neue"/>
        </w:rPr>
      </w:pPr>
      <w:r>
        <w:rPr>
          <w:rFonts w:ascii="Helvetica Neue" w:eastAsia="Helvetica Neue" w:hAnsi="Helvetica Neue" w:cs="Helvetica Neue"/>
        </w:rPr>
        <w:t>Data protection is also affir</w:t>
      </w:r>
      <w:r>
        <w:rPr>
          <w:rFonts w:ascii="Helvetica Neue" w:eastAsia="Helvetica Neue" w:hAnsi="Helvetica Neue" w:cs="Helvetica Neue"/>
        </w:rPr>
        <w:t>med as a right in the African Union Convention on Cyber Security and Personal Data Protection. In the Convention, each State party commits to establish a legal framework that strengthens fundamental rights, "particularly the protection of physical data." T</w:t>
      </w:r>
      <w:r>
        <w:rPr>
          <w:rFonts w:ascii="Helvetica Neue" w:eastAsia="Helvetica Neue" w:hAnsi="Helvetica Neue" w:cs="Helvetica Neue"/>
        </w:rPr>
        <w:t xml:space="preserve">he Convention's Article 10.5 affirms that, "personal data processing undertaken on behalf of the Government, a public institution, a local community, a private corporate body operating a public service, shall be in accordance </w:t>
      </w:r>
      <w:r>
        <w:rPr>
          <w:rFonts w:ascii="Helvetica Neue" w:eastAsia="Helvetica Neue" w:hAnsi="Helvetica Neue" w:cs="Helvetica Neue"/>
        </w:rPr>
        <w:lastRenderedPageBreak/>
        <w:t>with a legislative or regulato</w:t>
      </w:r>
      <w:r>
        <w:rPr>
          <w:rFonts w:ascii="Helvetica Neue" w:eastAsia="Helvetica Neue" w:hAnsi="Helvetica Neue" w:cs="Helvetica Neue"/>
        </w:rPr>
        <w:t>ry act enacted after an informed advice of the protection authority."</w:t>
      </w:r>
      <w:r>
        <w:rPr>
          <w:rFonts w:ascii="Helvetica Neue" w:eastAsia="Helvetica Neue" w:hAnsi="Helvetica Neue" w:cs="Helvetica Neue"/>
          <w:vertAlign w:val="superscript"/>
        </w:rPr>
        <w:footnoteReference w:id="12"/>
      </w:r>
      <w:r>
        <w:rPr>
          <w:rFonts w:ascii="Helvetica Neue" w:eastAsia="Helvetica Neue" w:hAnsi="Helvetica Neue" w:cs="Helvetica Neue"/>
        </w:rPr>
        <w:t xml:space="preserve"> </w:t>
      </w:r>
    </w:p>
    <w:p w14:paraId="7365A05A" w14:textId="77777777" w:rsidR="009548C6" w:rsidRDefault="00173675">
      <w:pPr>
        <w:pStyle w:val="normal0"/>
        <w:numPr>
          <w:ilvl w:val="0"/>
          <w:numId w:val="2"/>
        </w:numPr>
        <w:spacing w:after="200"/>
        <w:ind w:hanging="360"/>
        <w:contextualSpacing/>
        <w:rPr>
          <w:rFonts w:ascii="Helvetica Neue" w:eastAsia="Helvetica Neue" w:hAnsi="Helvetica Neue" w:cs="Helvetica Neue"/>
        </w:rPr>
      </w:pPr>
      <w:r>
        <w:rPr>
          <w:rFonts w:ascii="Helvetica Neue" w:eastAsia="Helvetica Neue" w:hAnsi="Helvetica Neue" w:cs="Helvetica Neue"/>
        </w:rPr>
        <w:t>Mali has not signed or ratified the Convention.</w:t>
      </w:r>
      <w:r>
        <w:rPr>
          <w:rFonts w:ascii="Helvetica Neue" w:eastAsia="Helvetica Neue" w:hAnsi="Helvetica Neue" w:cs="Helvetica Neue"/>
          <w:vertAlign w:val="superscript"/>
        </w:rPr>
        <w:footnoteReference w:id="13"/>
      </w:r>
      <w:r>
        <w:rPr>
          <w:rFonts w:ascii="Helvetica Neue" w:eastAsia="Helvetica Neue" w:hAnsi="Helvetica Neue" w:cs="Helvetica Neue"/>
        </w:rPr>
        <w:t xml:space="preserve"> </w:t>
      </w:r>
    </w:p>
    <w:p w14:paraId="1CC599FA" w14:textId="77777777" w:rsidR="009548C6" w:rsidRDefault="00173675">
      <w:pPr>
        <w:pStyle w:val="normal0"/>
        <w:numPr>
          <w:ilvl w:val="0"/>
          <w:numId w:val="2"/>
        </w:numPr>
        <w:spacing w:after="200"/>
        <w:ind w:hanging="360"/>
        <w:contextualSpacing/>
        <w:rPr>
          <w:rFonts w:ascii="Helvetica Neue" w:eastAsia="Helvetica Neue" w:hAnsi="Helvetica Neue" w:cs="Helvetica Neue"/>
        </w:rPr>
      </w:pPr>
      <w:r>
        <w:rPr>
          <w:rFonts w:ascii="Helvetica Neue" w:eastAsia="Helvetica Neue" w:hAnsi="Helvetica Neue" w:cs="Helvetica Neue"/>
        </w:rPr>
        <w:t>Positively, Mali does has a data protection regulation. Mali’s Personal Data Protection Authority (‘APDP’), instituted by the Law n° 2</w:t>
      </w:r>
      <w:r>
        <w:rPr>
          <w:rFonts w:ascii="Helvetica Neue" w:eastAsia="Helvetica Neue" w:hAnsi="Helvetica Neue" w:cs="Helvetica Neue"/>
        </w:rPr>
        <w:t>013/015 on Personal Data Protection in the Republic of Mali, launched activities on 10 March 2016.</w:t>
      </w:r>
    </w:p>
    <w:p w14:paraId="63B0DA45" w14:textId="77777777" w:rsidR="009548C6" w:rsidRDefault="00173675">
      <w:pPr>
        <w:pStyle w:val="normal0"/>
        <w:spacing w:after="200"/>
        <w:rPr>
          <w:rFonts w:ascii="Helvetica Neue" w:eastAsia="Helvetica Neue" w:hAnsi="Helvetica Neue" w:cs="Helvetica Neue"/>
          <w:b/>
        </w:rPr>
      </w:pPr>
      <w:r>
        <w:rPr>
          <w:rFonts w:ascii="Helvetica Neue" w:eastAsia="Helvetica Neue" w:hAnsi="Helvetica Neue" w:cs="Helvetica Neue"/>
          <w:b/>
        </w:rPr>
        <w:t>Recommendations</w:t>
      </w:r>
    </w:p>
    <w:p w14:paraId="12B269BA" w14:textId="77777777" w:rsidR="009548C6" w:rsidRDefault="00173675">
      <w:pPr>
        <w:pStyle w:val="normal0"/>
        <w:numPr>
          <w:ilvl w:val="0"/>
          <w:numId w:val="2"/>
        </w:numPr>
        <w:spacing w:after="200"/>
        <w:ind w:hanging="360"/>
        <w:contextualSpacing/>
        <w:rPr>
          <w:rFonts w:ascii="Helvetica Neue" w:eastAsia="Helvetica Neue" w:hAnsi="Helvetica Neue" w:cs="Helvetica Neue"/>
        </w:rPr>
      </w:pPr>
      <w:r>
        <w:rPr>
          <w:rFonts w:ascii="Helvetica Neue" w:eastAsia="Helvetica Neue" w:hAnsi="Helvetica Neue" w:cs="Helvetica Neue"/>
        </w:rPr>
        <w:t>Mali can improve its human rights record and treatment of digital rights in several areas. We accordingly recommend that the government of Ma</w:t>
      </w:r>
      <w:r>
        <w:rPr>
          <w:rFonts w:ascii="Helvetica Neue" w:eastAsia="Helvetica Neue" w:hAnsi="Helvetica Neue" w:cs="Helvetica Neue"/>
        </w:rPr>
        <w:t>li:</w:t>
      </w:r>
    </w:p>
    <w:p w14:paraId="618EC42F" w14:textId="77777777" w:rsidR="009548C6" w:rsidRDefault="00173675">
      <w:pPr>
        <w:pStyle w:val="normal0"/>
        <w:numPr>
          <w:ilvl w:val="1"/>
          <w:numId w:val="1"/>
        </w:numPr>
        <w:spacing w:after="200"/>
        <w:ind w:hanging="360"/>
        <w:contextualSpacing/>
        <w:rPr>
          <w:rFonts w:ascii="Helvetica Neue" w:eastAsia="Helvetica Neue" w:hAnsi="Helvetica Neue" w:cs="Helvetica Neue"/>
        </w:rPr>
      </w:pPr>
      <w:r>
        <w:rPr>
          <w:rFonts w:ascii="Helvetica Neue" w:eastAsia="Helvetica Neue" w:hAnsi="Helvetica Neue" w:cs="Helvetica Neue"/>
        </w:rPr>
        <w:t>Commit to refrain from slowing, blocking, or shutting down internet and telecommunications services, including voice-over-internet-protocol (VoIP) and messaging applications, particularly during elections and public assemblies;</w:t>
      </w:r>
    </w:p>
    <w:p w14:paraId="3D092115" w14:textId="77777777" w:rsidR="009548C6" w:rsidRDefault="00173675">
      <w:pPr>
        <w:pStyle w:val="normal0"/>
        <w:numPr>
          <w:ilvl w:val="1"/>
          <w:numId w:val="1"/>
        </w:numPr>
        <w:spacing w:after="200"/>
        <w:ind w:hanging="360"/>
        <w:contextualSpacing/>
        <w:rPr>
          <w:rFonts w:ascii="Helvetica Neue" w:eastAsia="Helvetica Neue" w:hAnsi="Helvetica Neue" w:cs="Helvetica Neue"/>
        </w:rPr>
      </w:pPr>
      <w:r>
        <w:rPr>
          <w:rFonts w:ascii="Helvetica Neue" w:eastAsia="Helvetica Neue" w:hAnsi="Helvetica Neue" w:cs="Helvetica Neue"/>
        </w:rPr>
        <w:t>Sign and ratify the Afri</w:t>
      </w:r>
      <w:r>
        <w:rPr>
          <w:rFonts w:ascii="Helvetica Neue" w:eastAsia="Helvetica Neue" w:hAnsi="Helvetica Neue" w:cs="Helvetica Neue"/>
        </w:rPr>
        <w:t>can Union Convention on Cyber Security and Personal Data Protection;</w:t>
      </w:r>
    </w:p>
    <w:p w14:paraId="2246EC96" w14:textId="77777777" w:rsidR="009548C6" w:rsidRDefault="00173675">
      <w:pPr>
        <w:pStyle w:val="normal0"/>
        <w:numPr>
          <w:ilvl w:val="1"/>
          <w:numId w:val="1"/>
        </w:numPr>
        <w:spacing w:after="200"/>
        <w:ind w:hanging="360"/>
        <w:contextualSpacing/>
        <w:rPr>
          <w:rFonts w:ascii="Helvetica Neue" w:eastAsia="Helvetica Neue" w:hAnsi="Helvetica Neue" w:cs="Helvetica Neue"/>
        </w:rPr>
      </w:pPr>
      <w:r>
        <w:rPr>
          <w:rFonts w:ascii="Helvetica Neue" w:eastAsia="Helvetica Neue" w:hAnsi="Helvetica Neue" w:cs="Helvetica Neue"/>
        </w:rPr>
        <w:t>Ensure data protection legislation is robustly enforced and the APDP remains adequately resourced, empowered, and financed;</w:t>
      </w:r>
    </w:p>
    <w:p w14:paraId="15EEF4B0" w14:textId="77777777" w:rsidR="009548C6" w:rsidRDefault="00173675">
      <w:pPr>
        <w:pStyle w:val="normal0"/>
        <w:numPr>
          <w:ilvl w:val="1"/>
          <w:numId w:val="1"/>
        </w:numPr>
        <w:spacing w:after="200"/>
        <w:ind w:hanging="360"/>
        <w:contextualSpacing/>
        <w:rPr>
          <w:rFonts w:ascii="Helvetica Neue" w:eastAsia="Helvetica Neue" w:hAnsi="Helvetica Neue" w:cs="Helvetica Neue"/>
        </w:rPr>
      </w:pPr>
      <w:r>
        <w:rPr>
          <w:rFonts w:ascii="Helvetica Neue" w:eastAsia="Helvetica Neue" w:hAnsi="Helvetica Neue" w:cs="Helvetica Neue"/>
        </w:rPr>
        <w:t>Commit to enhancing freedom of expression online and preventing</w:t>
      </w:r>
      <w:r>
        <w:rPr>
          <w:rFonts w:ascii="Helvetica Neue" w:eastAsia="Helvetica Neue" w:hAnsi="Helvetica Neue" w:cs="Helvetica Neue"/>
        </w:rPr>
        <w:t xml:space="preserve"> violations by state and non-state actors, such as companies;</w:t>
      </w:r>
    </w:p>
    <w:p w14:paraId="0B2DAE47" w14:textId="77777777" w:rsidR="009548C6" w:rsidRDefault="00173675">
      <w:pPr>
        <w:pStyle w:val="normal0"/>
        <w:numPr>
          <w:ilvl w:val="1"/>
          <w:numId w:val="1"/>
        </w:numPr>
        <w:spacing w:after="200"/>
        <w:ind w:hanging="360"/>
        <w:contextualSpacing/>
        <w:rPr>
          <w:rFonts w:ascii="Helvetica Neue" w:eastAsia="Helvetica Neue" w:hAnsi="Helvetica Neue" w:cs="Helvetica Neue"/>
        </w:rPr>
      </w:pPr>
      <w:r>
        <w:rPr>
          <w:rFonts w:ascii="Helvetica Neue" w:eastAsia="Helvetica Neue" w:hAnsi="Helvetica Neue" w:cs="Helvetica Neue"/>
        </w:rPr>
        <w:t>Commit to increasing access to and use of digital information and communications technologies;</w:t>
      </w:r>
    </w:p>
    <w:p w14:paraId="72837EF4" w14:textId="77777777" w:rsidR="009548C6" w:rsidRDefault="00173675">
      <w:pPr>
        <w:pStyle w:val="normal0"/>
        <w:numPr>
          <w:ilvl w:val="1"/>
          <w:numId w:val="1"/>
        </w:numPr>
        <w:spacing w:after="200"/>
        <w:ind w:hanging="360"/>
        <w:contextualSpacing/>
        <w:rPr>
          <w:rFonts w:ascii="Helvetica Neue" w:eastAsia="Helvetica Neue" w:hAnsi="Helvetica Neue" w:cs="Helvetica Neue"/>
        </w:rPr>
      </w:pPr>
      <w:r>
        <w:rPr>
          <w:rFonts w:ascii="Helvetica Neue" w:eastAsia="Helvetica Neue" w:hAnsi="Helvetica Neue" w:cs="Helvetica Neue"/>
        </w:rPr>
        <w:t>Improve cooperation with United Nations treaty mechanisms and issue standing invitations to UN spec</w:t>
      </w:r>
      <w:r>
        <w:rPr>
          <w:rFonts w:ascii="Helvetica Neue" w:eastAsia="Helvetica Neue" w:hAnsi="Helvetica Neue" w:cs="Helvetica Neue"/>
        </w:rPr>
        <w:t xml:space="preserve">ial procedures such as the UN special rapporteurs on the rights to freedom of expression and opinion, the right to and privacy; </w:t>
      </w:r>
    </w:p>
    <w:p w14:paraId="39AA5A71" w14:textId="77777777" w:rsidR="009548C6" w:rsidRDefault="00173675">
      <w:pPr>
        <w:pStyle w:val="normal0"/>
        <w:numPr>
          <w:ilvl w:val="1"/>
          <w:numId w:val="1"/>
        </w:numPr>
        <w:spacing w:after="200"/>
        <w:ind w:hanging="360"/>
        <w:contextualSpacing/>
        <w:rPr>
          <w:rFonts w:ascii="Helvetica Neue" w:eastAsia="Helvetica Neue" w:hAnsi="Helvetica Neue" w:cs="Helvetica Neue"/>
        </w:rPr>
      </w:pPr>
      <w:r>
        <w:rPr>
          <w:rFonts w:ascii="Helvetica Neue" w:eastAsia="Helvetica Neue" w:hAnsi="Helvetica Neue" w:cs="Helvetica Neue"/>
        </w:rPr>
        <w:t>Enact laws and telecommunications regulations protecting access to information and preventing network discrimination, also know</w:t>
      </w:r>
      <w:r>
        <w:rPr>
          <w:rFonts w:ascii="Helvetica Neue" w:eastAsia="Helvetica Neue" w:hAnsi="Helvetica Neue" w:cs="Helvetica Neue"/>
        </w:rPr>
        <w:t>n as Net Neutrality.</w:t>
      </w:r>
    </w:p>
    <w:p w14:paraId="575C6802" w14:textId="77777777" w:rsidR="009548C6" w:rsidRDefault="00173675">
      <w:pPr>
        <w:pStyle w:val="normal0"/>
        <w:numPr>
          <w:ilvl w:val="0"/>
          <w:numId w:val="1"/>
        </w:numPr>
        <w:spacing w:after="200"/>
        <w:ind w:hanging="360"/>
        <w:contextualSpacing/>
        <w:rPr>
          <w:rFonts w:ascii="Helvetica Neue" w:eastAsia="Helvetica Neue" w:hAnsi="Helvetica Neue" w:cs="Helvetica Neue"/>
        </w:rPr>
      </w:pPr>
      <w:r>
        <w:rPr>
          <w:rFonts w:ascii="Helvetica Neue" w:eastAsia="Helvetica Neue" w:hAnsi="Helvetica Neue" w:cs="Helvetica Neue"/>
        </w:rPr>
        <w:t>The UPR is an important U.N. process aimed at addressing human rights issues all across the globe. It is a rare mechanism through which citizens around the world get to work with governments to improve human rights and hold them accoun</w:t>
      </w:r>
      <w:r>
        <w:rPr>
          <w:rFonts w:ascii="Helvetica Neue" w:eastAsia="Helvetica Neue" w:hAnsi="Helvetica Neue" w:cs="Helvetica Neue"/>
        </w:rPr>
        <w:t xml:space="preserve">table to international law. Access Now is grateful to make this submission. </w:t>
      </w:r>
    </w:p>
    <w:p w14:paraId="0F0EEF18" w14:textId="77777777" w:rsidR="009548C6" w:rsidRDefault="00173675">
      <w:pPr>
        <w:pStyle w:val="normal0"/>
        <w:numPr>
          <w:ilvl w:val="0"/>
          <w:numId w:val="1"/>
        </w:numPr>
        <w:spacing w:after="200"/>
        <w:ind w:hanging="360"/>
        <w:contextualSpacing/>
        <w:rPr>
          <w:rFonts w:ascii="Helvetica Neue" w:eastAsia="Helvetica Neue" w:hAnsi="Helvetica Neue" w:cs="Helvetica Neue"/>
        </w:rPr>
      </w:pPr>
      <w:r>
        <w:rPr>
          <w:rFonts w:ascii="Helvetica Neue" w:eastAsia="Helvetica Neue" w:hAnsi="Helvetica Neue" w:cs="Helvetica Neue"/>
        </w:rPr>
        <w:t>For additional information, please contact Access Now General Counsel Peter Micek (</w:t>
      </w:r>
      <w:r>
        <w:rPr>
          <w:rFonts w:ascii="Helvetica Neue" w:eastAsia="Helvetica Neue" w:hAnsi="Helvetica Neue" w:cs="Helvetica Neue"/>
          <w:color w:val="1155CC"/>
          <w:u w:val="single"/>
        </w:rPr>
        <w:t>peter@accessnow.org</w:t>
      </w:r>
      <w:r>
        <w:rPr>
          <w:rFonts w:ascii="Helvetica Neue" w:eastAsia="Helvetica Neue" w:hAnsi="Helvetica Neue" w:cs="Helvetica Neue"/>
        </w:rPr>
        <w:t>).</w:t>
      </w:r>
    </w:p>
    <w:p w14:paraId="4AF72171" w14:textId="77777777" w:rsidR="009548C6" w:rsidRDefault="009548C6">
      <w:pPr>
        <w:pStyle w:val="normal0"/>
      </w:pPr>
    </w:p>
    <w:sectPr w:rsidR="009548C6">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4657D" w14:textId="77777777" w:rsidR="00000000" w:rsidRDefault="00173675">
      <w:pPr>
        <w:spacing w:line="240" w:lineRule="auto"/>
      </w:pPr>
      <w:r>
        <w:separator/>
      </w:r>
    </w:p>
  </w:endnote>
  <w:endnote w:type="continuationSeparator" w:id="0">
    <w:p w14:paraId="29AC6E34" w14:textId="77777777" w:rsidR="00000000" w:rsidRDefault="001736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ACEF6" w14:textId="77777777" w:rsidR="00000000" w:rsidRDefault="00173675">
      <w:pPr>
        <w:spacing w:line="240" w:lineRule="auto"/>
      </w:pPr>
      <w:r>
        <w:separator/>
      </w:r>
    </w:p>
  </w:footnote>
  <w:footnote w:type="continuationSeparator" w:id="0">
    <w:p w14:paraId="4E874DA9" w14:textId="77777777" w:rsidR="00000000" w:rsidRDefault="00173675">
      <w:pPr>
        <w:spacing w:line="240" w:lineRule="auto"/>
      </w:pPr>
      <w:r>
        <w:continuationSeparator/>
      </w:r>
    </w:p>
  </w:footnote>
  <w:footnote w:id="1">
    <w:p w14:paraId="76E15F10" w14:textId="77777777" w:rsidR="009548C6" w:rsidRDefault="00173675">
      <w:pPr>
        <w:pStyle w:val="normal0"/>
        <w:spacing w:line="240" w:lineRule="auto"/>
        <w:rPr>
          <w:sz w:val="20"/>
          <w:szCs w:val="20"/>
        </w:rPr>
      </w:pPr>
      <w:r>
        <w:rPr>
          <w:vertAlign w:val="superscript"/>
        </w:rPr>
        <w:footnoteRef/>
      </w:r>
      <w:r>
        <w:rPr>
          <w:sz w:val="20"/>
          <w:szCs w:val="20"/>
        </w:rPr>
        <w:t xml:space="preserve"> ITU Statistics, “</w:t>
      </w:r>
      <w:r>
        <w:rPr>
          <w:sz w:val="18"/>
          <w:szCs w:val="18"/>
          <w:highlight w:val="white"/>
        </w:rPr>
        <w:t>Mobile-cellular subscriptions,</w:t>
      </w:r>
      <w:r>
        <w:rPr>
          <w:sz w:val="20"/>
          <w:szCs w:val="20"/>
        </w:rPr>
        <w:t xml:space="preserve">” </w:t>
      </w:r>
      <w:r>
        <w:rPr>
          <w:i/>
          <w:sz w:val="20"/>
          <w:szCs w:val="20"/>
        </w:rPr>
        <w:t>available at</w:t>
      </w:r>
      <w:r>
        <w:rPr>
          <w:sz w:val="20"/>
          <w:szCs w:val="20"/>
        </w:rPr>
        <w:t xml:space="preserve"> &lt;http://www.itu.int/en/ITU-D/Statistics/Documents/statistics/2016/Mobile_cellular_2000-2015.xls&gt;.</w:t>
      </w:r>
    </w:p>
  </w:footnote>
  <w:footnote w:id="2">
    <w:p w14:paraId="3F08DC5A" w14:textId="77777777" w:rsidR="009548C6" w:rsidRDefault="00173675">
      <w:pPr>
        <w:pStyle w:val="normal0"/>
        <w:rPr>
          <w:sz w:val="20"/>
          <w:szCs w:val="20"/>
        </w:rPr>
      </w:pPr>
      <w:r>
        <w:rPr>
          <w:vertAlign w:val="superscript"/>
        </w:rPr>
        <w:footnoteRef/>
      </w:r>
      <w:r>
        <w:rPr>
          <w:sz w:val="20"/>
          <w:szCs w:val="20"/>
        </w:rPr>
        <w:t xml:space="preserve"> See Trading Economics, Mali - Fixed broadband Internet subscribers (per 100 people), </w:t>
      </w:r>
    </w:p>
    <w:p w14:paraId="51FA5185" w14:textId="77777777" w:rsidR="009548C6" w:rsidRDefault="00173675">
      <w:pPr>
        <w:pStyle w:val="normal0"/>
        <w:spacing w:line="240" w:lineRule="auto"/>
        <w:rPr>
          <w:sz w:val="20"/>
          <w:szCs w:val="20"/>
        </w:rPr>
      </w:pPr>
      <w:r>
        <w:rPr>
          <w:sz w:val="20"/>
          <w:szCs w:val="20"/>
        </w:rPr>
        <w:t>&lt;https://tradingeconomics.com/mali/fixed-broadband-internet-subscribers-per-100-people-wb-data.html&gt;.</w:t>
      </w:r>
    </w:p>
  </w:footnote>
  <w:footnote w:id="3">
    <w:p w14:paraId="0B163994" w14:textId="77777777" w:rsidR="009548C6" w:rsidRDefault="00173675">
      <w:pPr>
        <w:pStyle w:val="normal0"/>
        <w:spacing w:line="240" w:lineRule="auto"/>
        <w:rPr>
          <w:sz w:val="20"/>
          <w:szCs w:val="20"/>
        </w:rPr>
      </w:pPr>
      <w:r>
        <w:rPr>
          <w:vertAlign w:val="superscript"/>
        </w:rPr>
        <w:footnoteRef/>
      </w:r>
      <w:r>
        <w:rPr>
          <w:sz w:val="20"/>
          <w:szCs w:val="20"/>
        </w:rPr>
        <w:t xml:space="preserve"> Morgane Bona, RFI, Accès à Internet en Afrique: «des coupures illégales» pour Me Julie Owono, 26 Juin 2017 &lt;</w:t>
      </w:r>
      <w:r>
        <w:rPr>
          <w:sz w:val="20"/>
          <w:szCs w:val="20"/>
        </w:rPr>
        <w:t>http://www.rfi.fr/emission/20170626-internet-afrique-coupures-illegales-me-julie-owono&gt;.</w:t>
      </w:r>
    </w:p>
  </w:footnote>
  <w:footnote w:id="4">
    <w:p w14:paraId="6EABA992" w14:textId="77777777" w:rsidR="009548C6" w:rsidRDefault="00173675">
      <w:pPr>
        <w:pStyle w:val="normal0"/>
        <w:spacing w:line="240" w:lineRule="auto"/>
        <w:rPr>
          <w:sz w:val="20"/>
          <w:szCs w:val="20"/>
        </w:rPr>
      </w:pPr>
      <w:r>
        <w:rPr>
          <w:vertAlign w:val="superscript"/>
        </w:rPr>
        <w:footnoteRef/>
      </w:r>
      <w:r>
        <w:rPr>
          <w:sz w:val="20"/>
          <w:szCs w:val="20"/>
        </w:rPr>
        <w:t xml:space="preserve"> See A/HRC/RES/32/13, “The promotion, protection and enjoyment of human rights on the Internet,”18 July 2016, available at &lt;http://ap.ohchr.org/documents/dpage_e.aspx?si=A/HRC/RES/32/13&gt;</w:t>
      </w:r>
    </w:p>
  </w:footnote>
  <w:footnote w:id="5">
    <w:p w14:paraId="4A9538D4" w14:textId="77777777" w:rsidR="009548C6" w:rsidRDefault="00173675">
      <w:pPr>
        <w:pStyle w:val="normal0"/>
        <w:spacing w:line="240" w:lineRule="auto"/>
        <w:rPr>
          <w:sz w:val="20"/>
          <w:szCs w:val="20"/>
        </w:rPr>
      </w:pPr>
      <w:r>
        <w:rPr>
          <w:vertAlign w:val="superscript"/>
        </w:rPr>
        <w:footnoteRef/>
      </w:r>
      <w:r>
        <w:rPr>
          <w:sz w:val="20"/>
          <w:szCs w:val="20"/>
        </w:rPr>
        <w:t xml:space="preserve"> “Report of the Special Rapporteur on the promotion a</w:t>
      </w:r>
      <w:r>
        <w:rPr>
          <w:sz w:val="20"/>
          <w:szCs w:val="20"/>
        </w:rPr>
        <w:t>nd protection of the right to freedom of opinion and expression, Frank La Rue,” 16 May 2011, available at &lt;</w:t>
      </w:r>
      <w:hyperlink r:id="rId1">
        <w:r>
          <w:rPr>
            <w:color w:val="1155CC"/>
            <w:sz w:val="20"/>
            <w:szCs w:val="20"/>
            <w:u w:val="single"/>
          </w:rPr>
          <w:t>http://www2.ohchr.org/English/bodies/hrcouncil/do</w:t>
        </w:r>
        <w:r>
          <w:rPr>
            <w:color w:val="1155CC"/>
            <w:sz w:val="20"/>
            <w:szCs w:val="20"/>
            <w:u w:val="single"/>
          </w:rPr>
          <w:t>cs/17session/A.HRC.17.27_en.PDF</w:t>
        </w:r>
      </w:hyperlink>
      <w:r>
        <w:rPr>
          <w:sz w:val="20"/>
          <w:szCs w:val="20"/>
        </w:rPr>
        <w:t>&gt;.</w:t>
      </w:r>
    </w:p>
  </w:footnote>
  <w:footnote w:id="6">
    <w:p w14:paraId="59B20158" w14:textId="77777777" w:rsidR="009548C6" w:rsidRDefault="00173675">
      <w:pPr>
        <w:pStyle w:val="normal0"/>
        <w:spacing w:line="240" w:lineRule="auto"/>
        <w:rPr>
          <w:sz w:val="20"/>
          <w:szCs w:val="20"/>
        </w:rPr>
      </w:pPr>
      <w:r>
        <w:rPr>
          <w:vertAlign w:val="superscript"/>
        </w:rPr>
        <w:footnoteRef/>
      </w:r>
      <w:r>
        <w:rPr>
          <w:sz w:val="20"/>
          <w:szCs w:val="20"/>
        </w:rPr>
        <w:t xml:space="preserve"> See Report of the Special Rapporteur on the promotion and protection of the right to freedom of opinion and expression, David Kaye, 30 March 2017, available at &lt;http://ap.ohchr.org/documents/dpage_e.aspx?si=A/HRC/35/22&gt;.</w:t>
      </w:r>
    </w:p>
  </w:footnote>
  <w:footnote w:id="7">
    <w:p w14:paraId="1CEA6F21" w14:textId="77777777" w:rsidR="009548C6" w:rsidRDefault="00173675">
      <w:pPr>
        <w:pStyle w:val="normal0"/>
        <w:spacing w:line="240" w:lineRule="auto"/>
        <w:rPr>
          <w:sz w:val="20"/>
          <w:szCs w:val="20"/>
        </w:rPr>
      </w:pPr>
      <w:r>
        <w:rPr>
          <w:vertAlign w:val="superscript"/>
        </w:rPr>
        <w:footnoteRef/>
      </w:r>
      <w:r>
        <w:rPr>
          <w:sz w:val="20"/>
          <w:szCs w:val="20"/>
        </w:rPr>
        <w:t xml:space="preserve"> Morgane Bona, RFI, Accès à Internet en Afrique: «des coupures illégales» pour Me Julie Owon</w:t>
      </w:r>
      <w:r>
        <w:rPr>
          <w:sz w:val="20"/>
          <w:szCs w:val="20"/>
        </w:rPr>
        <w:t>o, 26 Juin 2017 &lt;http://www.rfi.fr/emission/20170626-internet-afrique-coupures-illegales-me-julie-owono&gt;.</w:t>
      </w:r>
    </w:p>
  </w:footnote>
  <w:footnote w:id="8">
    <w:p w14:paraId="68B5F684" w14:textId="77777777" w:rsidR="009548C6" w:rsidRDefault="00173675">
      <w:pPr>
        <w:pStyle w:val="normal0"/>
        <w:spacing w:line="240" w:lineRule="auto"/>
        <w:rPr>
          <w:sz w:val="20"/>
          <w:szCs w:val="20"/>
        </w:rPr>
      </w:pPr>
      <w:r>
        <w:rPr>
          <w:vertAlign w:val="superscript"/>
        </w:rPr>
        <w:footnoteRef/>
      </w:r>
      <w:r>
        <w:rPr>
          <w:sz w:val="20"/>
          <w:szCs w:val="20"/>
        </w:rPr>
        <w:t xml:space="preserve"> “Fighting Internet Shutdowns” (Access Now) &lt;https://www.accessnow.org/internet-shutdowns&gt;</w:t>
      </w:r>
    </w:p>
  </w:footnote>
  <w:footnote w:id="9">
    <w:p w14:paraId="27BF0244" w14:textId="77777777" w:rsidR="009548C6" w:rsidRDefault="00173675">
      <w:pPr>
        <w:pStyle w:val="normal0"/>
        <w:spacing w:line="240" w:lineRule="auto"/>
        <w:rPr>
          <w:sz w:val="20"/>
          <w:szCs w:val="20"/>
        </w:rPr>
      </w:pPr>
      <w:r>
        <w:rPr>
          <w:vertAlign w:val="superscript"/>
        </w:rPr>
        <w:footnoteRef/>
      </w:r>
      <w:r>
        <w:rPr>
          <w:sz w:val="20"/>
          <w:szCs w:val="20"/>
        </w:rPr>
        <w:t xml:space="preserve"> Sarah Myers West, ‘Research Shows Internet Shutdowns and State Violence Go Hand in Hand in Syria,” Electronic Frontier Foundation, 1 July 2015,</w:t>
      </w:r>
    </w:p>
    <w:p w14:paraId="65C6BC26" w14:textId="77777777" w:rsidR="009548C6" w:rsidRDefault="00173675">
      <w:pPr>
        <w:pStyle w:val="normal0"/>
        <w:spacing w:line="240" w:lineRule="auto"/>
        <w:rPr>
          <w:sz w:val="20"/>
          <w:szCs w:val="20"/>
        </w:rPr>
      </w:pPr>
      <w:r>
        <w:rPr>
          <w:sz w:val="20"/>
          <w:szCs w:val="20"/>
        </w:rPr>
        <w:t>&lt;</w:t>
      </w:r>
      <w:hyperlink r:id="rId2">
        <w:r>
          <w:rPr>
            <w:color w:val="1155CC"/>
            <w:sz w:val="20"/>
            <w:szCs w:val="20"/>
            <w:u w:val="single"/>
          </w:rPr>
          <w:t>https://www.eff.org/deeplinks/2015/06/research-shows-internet-shutdowns-and-state-violence-go-hand-hand-syria</w:t>
        </w:r>
      </w:hyperlink>
      <w:r>
        <w:rPr>
          <w:sz w:val="20"/>
          <w:szCs w:val="20"/>
        </w:rPr>
        <w:t>&gt; accessed 18 February 2016.</w:t>
      </w:r>
    </w:p>
  </w:footnote>
  <w:footnote w:id="10">
    <w:p w14:paraId="142CE8A8" w14:textId="77777777" w:rsidR="009548C6" w:rsidRDefault="00173675">
      <w:pPr>
        <w:pStyle w:val="normal0"/>
        <w:spacing w:line="240" w:lineRule="auto"/>
        <w:rPr>
          <w:sz w:val="20"/>
          <w:szCs w:val="20"/>
        </w:rPr>
      </w:pPr>
      <w:r>
        <w:rPr>
          <w:vertAlign w:val="superscript"/>
        </w:rPr>
        <w:footnoteRef/>
      </w:r>
      <w:r>
        <w:rPr>
          <w:sz w:val="20"/>
          <w:szCs w:val="20"/>
        </w:rPr>
        <w:t xml:space="preserve"> Peter</w:t>
      </w:r>
      <w:r>
        <w:rPr>
          <w:sz w:val="20"/>
          <w:szCs w:val="20"/>
        </w:rPr>
        <w:t xml:space="preserve"> Micek, (Access Now 4 May 2015) ‘Internet kill switches are a violation of human rights law, declare major UN and rights experts’ &lt;</w:t>
      </w:r>
      <w:hyperlink r:id="rId3">
        <w:r>
          <w:rPr>
            <w:color w:val="1155CC"/>
            <w:sz w:val="20"/>
            <w:szCs w:val="20"/>
            <w:u w:val="single"/>
          </w:rPr>
          <w:t>https://www.accessnow.org/blog/2015/05/04/internet-kill-switches-are-a-violation-of-human-rights-law-declare-major-un</w:t>
        </w:r>
      </w:hyperlink>
      <w:r>
        <w:rPr>
          <w:sz w:val="20"/>
          <w:szCs w:val="20"/>
        </w:rPr>
        <w:t>&gt; accessed 18 February 2016.</w:t>
      </w:r>
    </w:p>
  </w:footnote>
  <w:footnote w:id="11">
    <w:p w14:paraId="19E62942" w14:textId="77777777" w:rsidR="009548C6" w:rsidRDefault="00173675">
      <w:pPr>
        <w:pStyle w:val="normal0"/>
        <w:spacing w:line="240" w:lineRule="auto"/>
        <w:rPr>
          <w:sz w:val="20"/>
          <w:szCs w:val="20"/>
        </w:rPr>
      </w:pPr>
      <w:r>
        <w:rPr>
          <w:vertAlign w:val="superscript"/>
        </w:rPr>
        <w:footnoteRef/>
      </w:r>
      <w:r>
        <w:rPr>
          <w:sz w:val="20"/>
          <w:szCs w:val="20"/>
        </w:rPr>
        <w:t xml:space="preserve"> A/HRC/RES/32/13 (18 July 2016), available at &lt;http://ap.ohchr.org/documents/dpage_e.aspx?si=A/HR</w:t>
      </w:r>
      <w:r>
        <w:rPr>
          <w:sz w:val="20"/>
          <w:szCs w:val="20"/>
        </w:rPr>
        <w:t>C/RES/32/13&gt;.</w:t>
      </w:r>
    </w:p>
  </w:footnote>
  <w:footnote w:id="12">
    <w:p w14:paraId="2DC9939B" w14:textId="77777777" w:rsidR="009548C6" w:rsidRDefault="00173675">
      <w:pPr>
        <w:pStyle w:val="normal0"/>
        <w:spacing w:line="240" w:lineRule="auto"/>
        <w:rPr>
          <w:sz w:val="20"/>
          <w:szCs w:val="20"/>
        </w:rPr>
      </w:pPr>
      <w:r>
        <w:rPr>
          <w:vertAlign w:val="superscript"/>
        </w:rPr>
        <w:footnoteRef/>
      </w:r>
      <w:r>
        <w:rPr>
          <w:sz w:val="20"/>
          <w:szCs w:val="20"/>
        </w:rPr>
        <w:t xml:space="preserve"> African Union, “African Union Convention on Cyber Security and Personal Data Protection,” </w:t>
      </w:r>
      <w:r>
        <w:rPr>
          <w:i/>
          <w:sz w:val="20"/>
          <w:szCs w:val="20"/>
        </w:rPr>
        <w:t>available at</w:t>
      </w:r>
      <w:r>
        <w:rPr>
          <w:sz w:val="20"/>
          <w:szCs w:val="20"/>
        </w:rPr>
        <w:t xml:space="preserve"> &lt;</w:t>
      </w:r>
      <w:r>
        <w:rPr>
          <w:rFonts w:ascii="Helvetica Neue" w:eastAsia="Helvetica Neue" w:hAnsi="Helvetica Neue" w:cs="Helvetica Neue"/>
          <w:sz w:val="20"/>
          <w:szCs w:val="20"/>
        </w:rPr>
        <w:t>https://www.au.int/web/sites/default/files/treaties/29560-tre</w:t>
      </w:r>
      <w:r>
        <w:rPr>
          <w:rFonts w:ascii="Helvetica Neue" w:eastAsia="Helvetica Neue" w:hAnsi="Helvetica Neue" w:cs="Helvetica Neue"/>
          <w:sz w:val="20"/>
          <w:szCs w:val="20"/>
        </w:rPr>
        <w:t>aty-0048_-_african_union_convention_on_cyber_security_and_personal_data_protection_e.pdf&gt;.</w:t>
      </w:r>
    </w:p>
  </w:footnote>
  <w:footnote w:id="13">
    <w:p w14:paraId="293077DA" w14:textId="77777777" w:rsidR="009548C6" w:rsidRDefault="00173675">
      <w:pPr>
        <w:pStyle w:val="normal0"/>
        <w:spacing w:line="240" w:lineRule="auto"/>
        <w:rPr>
          <w:sz w:val="20"/>
          <w:szCs w:val="20"/>
        </w:rPr>
      </w:pPr>
      <w:r>
        <w:rPr>
          <w:vertAlign w:val="superscript"/>
        </w:rPr>
        <w:footnoteRef/>
      </w:r>
      <w:r>
        <w:rPr>
          <w:sz w:val="20"/>
          <w:szCs w:val="20"/>
        </w:rPr>
        <w:t xml:space="preserve"> List Of Countries Which Have Signed, Ratified/Acceded To The African Union Convention On Cyber Security And Personal Data Protection, </w:t>
      </w:r>
      <w:hyperlink r:id="rId4">
        <w:r>
          <w:rPr>
            <w:color w:val="1155CC"/>
            <w:sz w:val="20"/>
            <w:szCs w:val="20"/>
            <w:u w:val="single"/>
          </w:rPr>
          <w:t>https://www.au.int/web/sites/default/files/treaties/29560-sl-african_union_convention_on_cyber_security_and_personal_data_protec</w:t>
        </w:r>
        <w:r>
          <w:rPr>
            <w:color w:val="1155CC"/>
            <w:sz w:val="20"/>
            <w:szCs w:val="20"/>
            <w:u w:val="single"/>
          </w:rPr>
          <w:t>tion_.pdf</w:t>
        </w:r>
      </w:hyperlink>
      <w:r>
        <w:rPr>
          <w:sz w:val="20"/>
          <w:szCs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6365B" w14:textId="77777777" w:rsidR="009548C6" w:rsidRDefault="00173675">
    <w:pPr>
      <w:pStyle w:val="normal0"/>
      <w:spacing w:after="200" w:line="331" w:lineRule="auto"/>
      <w:jc w:val="center"/>
    </w:pPr>
    <w:r>
      <w:rPr>
        <w:noProof/>
      </w:rPr>
      <w:drawing>
        <wp:inline distT="114300" distB="114300" distL="114300" distR="114300" wp14:anchorId="0B5CC8B2" wp14:editId="018C1A80">
          <wp:extent cx="2543175" cy="561407"/>
          <wp:effectExtent l="0" t="0" r="0" b="0"/>
          <wp:docPr id="1" name="image2.png" descr="Access Now logo.png"/>
          <wp:cNvGraphicFramePr/>
          <a:graphic xmlns:a="http://schemas.openxmlformats.org/drawingml/2006/main">
            <a:graphicData uri="http://schemas.openxmlformats.org/drawingml/2006/picture">
              <pic:pic xmlns:pic="http://schemas.openxmlformats.org/drawingml/2006/picture">
                <pic:nvPicPr>
                  <pic:cNvPr id="0" name="image2.png" descr="Access Now logo.png"/>
                  <pic:cNvPicPr preferRelativeResize="0"/>
                </pic:nvPicPr>
                <pic:blipFill>
                  <a:blip r:embed="rId1"/>
                  <a:srcRect l="8506" t="37598" r="10721" b="36648"/>
                  <a:stretch>
                    <a:fillRect/>
                  </a:stretch>
                </pic:blipFill>
                <pic:spPr>
                  <a:xfrm>
                    <a:off x="0" y="0"/>
                    <a:ext cx="2543175" cy="561407"/>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42754"/>
    <w:multiLevelType w:val="multilevel"/>
    <w:tmpl w:val="DCC04758"/>
    <w:lvl w:ilvl="0">
      <w:start w:val="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9841A96"/>
    <w:multiLevelType w:val="multilevel"/>
    <w:tmpl w:val="288AB9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48C6"/>
    <w:rsid w:val="00173675"/>
    <w:rsid w:val="00954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89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7367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6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7367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6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ccessnow.org" TargetMode="External"/><Relationship Id="rId9" Type="http://schemas.openxmlformats.org/officeDocument/2006/relationships/hyperlink" Target="http://www.ohchr.org/en/professionalinterest/pages/ccpr.aspx" TargetMode="External"/><Relationship Id="rId10" Type="http://schemas.openxmlformats.org/officeDocument/2006/relationships/hyperlink" Target="http://www.ohchr.org/EN/ProfessionalInterest/Pages/CAT.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ccessnow.org/blog/2015/05/04/internet-kill-switches-are-a-violation-of-human-rights-law-declare-major-un" TargetMode="External"/><Relationship Id="rId4" Type="http://schemas.openxmlformats.org/officeDocument/2006/relationships/hyperlink" Target="https://www.au.int/web/sites/default/files/treaties/29560-sl-african_union_convention_on_cyber_security_and_personal_data_protection_.pdf" TargetMode="External"/><Relationship Id="rId1" Type="http://schemas.openxmlformats.org/officeDocument/2006/relationships/hyperlink" Target="http://www2.ohchr.org/English/bodies/hrcouncil/docs/17session/A.HRC.17.27_en.PDF" TargetMode="External"/><Relationship Id="rId2" Type="http://schemas.openxmlformats.org/officeDocument/2006/relationships/hyperlink" Target="https://www.eff.org/deeplinks/2015/06/research-shows-internet-shutdowns-and-state-violence-go-hand-hand-sy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7576</Characters>
  <Application>Microsoft Macintosh Word</Application>
  <DocSecurity>0</DocSecurity>
  <Lines>63</Lines>
  <Paragraphs>17</Paragraphs>
  <ScaleCrop>false</ScaleCrop>
  <Company>Access</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Micek</cp:lastModifiedBy>
  <cp:revision>2</cp:revision>
  <dcterms:created xsi:type="dcterms:W3CDTF">2017-06-29T20:05:00Z</dcterms:created>
  <dcterms:modified xsi:type="dcterms:W3CDTF">2017-06-29T20:05:00Z</dcterms:modified>
</cp:coreProperties>
</file>